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79" w:rsidRDefault="00670673" w:rsidP="00DF50F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 про К</w:t>
      </w:r>
      <w:r w:rsidR="00EF53B5" w:rsidRPr="00DF50FD">
        <w:rPr>
          <w:b/>
          <w:sz w:val="28"/>
          <w:szCs w:val="28"/>
        </w:rPr>
        <w:t>онкурс проектних пропозицій</w:t>
      </w:r>
    </w:p>
    <w:p w:rsidR="00EF53B5" w:rsidRDefault="00EF53B5" w:rsidP="00DF50F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DF50FD">
        <w:rPr>
          <w:b/>
          <w:sz w:val="28"/>
          <w:szCs w:val="28"/>
        </w:rPr>
        <w:t xml:space="preserve"> </w:t>
      </w:r>
      <w:r w:rsidR="00FC5E79">
        <w:rPr>
          <w:b/>
          <w:sz w:val="28"/>
          <w:szCs w:val="28"/>
        </w:rPr>
        <w:t xml:space="preserve">на підтримку сталого розвитку </w:t>
      </w:r>
      <w:r w:rsidRPr="00DF50FD">
        <w:rPr>
          <w:b/>
          <w:sz w:val="28"/>
          <w:szCs w:val="28"/>
        </w:rPr>
        <w:t>молодіжної (дитячої) громади</w:t>
      </w:r>
    </w:p>
    <w:p w:rsidR="00FC5E79" w:rsidRDefault="00FC5E79" w:rsidP="00DF50F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FC5E79" w:rsidRPr="00DF50FD" w:rsidRDefault="00FC5E79" w:rsidP="00DF50F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9E6614" w:rsidRPr="00DF50FD" w:rsidRDefault="009E6614" w:rsidP="00DF50FD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9E6614" w:rsidRPr="00DF50FD" w:rsidRDefault="009E6614" w:rsidP="00DF50FD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i/>
          <w:color w:val="000000"/>
          <w:sz w:val="28"/>
          <w:szCs w:val="28"/>
          <w:lang w:eastAsia="ru-RU"/>
        </w:rPr>
      </w:pPr>
      <w:r w:rsidRPr="00DF50FD">
        <w:rPr>
          <w:rFonts w:eastAsia="Times New Roman"/>
          <w:i/>
          <w:color w:val="000000"/>
          <w:sz w:val="28"/>
          <w:szCs w:val="28"/>
          <w:lang w:eastAsia="ru-RU"/>
        </w:rPr>
        <w:t xml:space="preserve">Конкурс проводиться </w:t>
      </w:r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FC5E79">
        <w:rPr>
          <w:rFonts w:eastAsia="Times New Roman"/>
          <w:i/>
          <w:color w:val="000000"/>
          <w:sz w:val="28"/>
          <w:szCs w:val="28"/>
          <w:lang w:val="ru-RU" w:eastAsia="ru-RU"/>
        </w:rPr>
        <w:t>громадською</w:t>
      </w:r>
      <w:proofErr w:type="spellEnd"/>
      <w:r w:rsidR="00FC5E79">
        <w:rPr>
          <w:rFonts w:eastAsia="Times New Roman"/>
          <w:i/>
          <w:color w:val="000000"/>
          <w:sz w:val="28"/>
          <w:szCs w:val="28"/>
          <w:lang w:val="ru-RU" w:eastAsia="ru-RU"/>
        </w:rPr>
        <w:t xml:space="preserve"> орган</w:t>
      </w:r>
      <w:proofErr w:type="spellStart"/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>ізацією</w:t>
      </w:r>
      <w:proofErr w:type="spellEnd"/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FC5E79" w:rsidRPr="00DF50FD">
        <w:rPr>
          <w:rFonts w:eastAsia="Times New Roman"/>
          <w:i/>
          <w:color w:val="000000"/>
          <w:sz w:val="28"/>
          <w:szCs w:val="28"/>
          <w:lang w:eastAsia="ru-RU"/>
        </w:rPr>
        <w:t>«Еко</w:t>
      </w:r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 xml:space="preserve">логічне </w:t>
      </w:r>
      <w:r w:rsidR="00FC5E79" w:rsidRPr="00DF50FD">
        <w:rPr>
          <w:rFonts w:eastAsia="Times New Roman"/>
          <w:i/>
          <w:color w:val="000000"/>
          <w:sz w:val="28"/>
          <w:szCs w:val="28"/>
          <w:lang w:eastAsia="ru-RU"/>
        </w:rPr>
        <w:t>майбутнє»</w:t>
      </w:r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 xml:space="preserve"> спільно з </w:t>
      </w:r>
      <w:r w:rsidR="00FC5E79" w:rsidRPr="00DF50FD">
        <w:rPr>
          <w:rFonts w:eastAsia="Times New Roman"/>
          <w:i/>
          <w:color w:val="000000"/>
          <w:sz w:val="28"/>
          <w:szCs w:val="28"/>
          <w:lang w:eastAsia="ru-RU"/>
        </w:rPr>
        <w:t xml:space="preserve">Партнерською мережею «Освіта в інтересах сталого розвиту в Україні» </w:t>
      </w:r>
      <w:r w:rsidRPr="00DF50FD">
        <w:rPr>
          <w:rFonts w:eastAsia="Times New Roman"/>
          <w:i/>
          <w:color w:val="000000"/>
          <w:sz w:val="28"/>
          <w:szCs w:val="28"/>
          <w:lang w:eastAsia="ru-RU"/>
        </w:rPr>
        <w:t xml:space="preserve">в рамках проекту </w:t>
      </w:r>
      <w:r w:rsidR="00FC5E79">
        <w:rPr>
          <w:rFonts w:eastAsia="Times New Roman"/>
          <w:i/>
          <w:color w:val="000000"/>
          <w:sz w:val="28"/>
          <w:szCs w:val="28"/>
          <w:lang w:eastAsia="ru-RU"/>
        </w:rPr>
        <w:t xml:space="preserve"> ПМГ ПРООН/ГЕФ </w:t>
      </w:r>
    </w:p>
    <w:p w:rsidR="001E4E59" w:rsidRPr="00DF50FD" w:rsidRDefault="001E4E59" w:rsidP="00DF50FD">
      <w:pPr>
        <w:spacing w:after="0" w:line="240" w:lineRule="auto"/>
        <w:ind w:firstLine="567"/>
        <w:jc w:val="both"/>
      </w:pPr>
    </w:p>
    <w:p w:rsidR="009E6614" w:rsidRPr="00DF50FD" w:rsidRDefault="009E6614" w:rsidP="00DF50FD">
      <w:pPr>
        <w:spacing w:after="0" w:line="240" w:lineRule="auto"/>
        <w:ind w:firstLine="567"/>
        <w:jc w:val="both"/>
      </w:pPr>
    </w:p>
    <w:p w:rsidR="00EF53B5" w:rsidRPr="00DF50FD" w:rsidRDefault="00EF53B5" w:rsidP="00DF50FD">
      <w:pPr>
        <w:spacing w:after="0" w:line="240" w:lineRule="auto"/>
        <w:ind w:firstLine="567"/>
        <w:jc w:val="both"/>
        <w:rPr>
          <w:b/>
        </w:rPr>
      </w:pPr>
      <w:r w:rsidRPr="00DF50FD">
        <w:rPr>
          <w:b/>
        </w:rPr>
        <w:t>Цілі та завдання</w:t>
      </w:r>
    </w:p>
    <w:p w:rsidR="00FC5E79" w:rsidRPr="00DF50FD" w:rsidRDefault="00EF53B5" w:rsidP="00FC5E79">
      <w:pPr>
        <w:spacing w:after="0" w:line="240" w:lineRule="auto"/>
        <w:ind w:firstLine="567"/>
        <w:jc w:val="both"/>
      </w:pPr>
      <w:r w:rsidRPr="00DF50FD">
        <w:t>Молодь відіграє активну роль в захисті навколишнього природного середовища, особливо в таких сфер</w:t>
      </w:r>
      <w:r w:rsidR="00553342">
        <w:t>ах</w:t>
      </w:r>
      <w:r w:rsidRPr="00DF50FD">
        <w:t xml:space="preserve"> як зміна клімату та захист </w:t>
      </w:r>
      <w:proofErr w:type="spellStart"/>
      <w:r w:rsidRPr="00DF50FD">
        <w:t>біорізноманіття</w:t>
      </w:r>
      <w:proofErr w:type="spellEnd"/>
      <w:r w:rsidRPr="00DF50FD">
        <w:t>. Свідомість та дії молоді опосередковано впливають на їх батьків, родичів та сім’ї, ось чому молодь є потужною рушійною силою у практичній діяльність щодо запобігання глобальних проблем довкілля. Підтримка діяльності дітей та молоді є одним із пріоритетних напрямків діяльності ПМГ ПРООН-ГЕФ, оскільки саме молодь виступає ефективним носієм виконання зобов’язань та консолідації зусиль з питань довкілля та сталого розвитку. Глобальні конвенції у галузі</w:t>
      </w:r>
      <w:r w:rsidR="00E965B7" w:rsidRPr="00DF50FD">
        <w:t xml:space="preserve"> охорони довкілля </w:t>
      </w:r>
      <w:r w:rsidRPr="00DF50FD">
        <w:t xml:space="preserve">також підтримують діяльність дітей та молоді задля досягнення своєї мети. </w:t>
      </w:r>
    </w:p>
    <w:p w:rsidR="00EF53B5" w:rsidRPr="00DF50FD" w:rsidRDefault="00FC5E79" w:rsidP="00DF50FD">
      <w:pPr>
        <w:spacing w:after="0" w:line="240" w:lineRule="auto"/>
        <w:ind w:firstLine="567"/>
        <w:jc w:val="both"/>
      </w:pPr>
      <w:r>
        <w:t>О</w:t>
      </w:r>
      <w:r w:rsidR="00E965B7" w:rsidRPr="00DF50FD">
        <w:t>сновною метою Конкурсу є</w:t>
      </w:r>
      <w:r w:rsidR="00EF53B5" w:rsidRPr="00DF50FD">
        <w:t xml:space="preserve"> </w:t>
      </w:r>
      <w:r>
        <w:t xml:space="preserve">надання сприяння молодіжній (дитячій) громаді у розвитку потенціалу для виконання </w:t>
      </w:r>
      <w:r w:rsidR="00EF53B5" w:rsidRPr="00DF50FD">
        <w:t xml:space="preserve">міжнародних зобов’язань з питань освіти для сталого розвитку та </w:t>
      </w:r>
      <w:proofErr w:type="spellStart"/>
      <w:r w:rsidR="00EF53B5" w:rsidRPr="00DF50FD">
        <w:t>біорізноманіття</w:t>
      </w:r>
      <w:proofErr w:type="spellEnd"/>
      <w:r w:rsidR="00EF53B5" w:rsidRPr="00DF50FD">
        <w:t xml:space="preserve"> як внесок у </w:t>
      </w:r>
      <w:r>
        <w:t>глобальні цілі</w:t>
      </w:r>
      <w:r w:rsidR="00EF53B5" w:rsidRPr="00DF50FD">
        <w:t xml:space="preserve"> щодо захисту довкілля, в тому числі визначених порядком денним Цілей сталого розвитку. </w:t>
      </w:r>
    </w:p>
    <w:p w:rsidR="00903C60" w:rsidRDefault="00903C60" w:rsidP="00DF50FD">
      <w:pPr>
        <w:spacing w:after="0" w:line="240" w:lineRule="auto"/>
        <w:ind w:firstLine="567"/>
        <w:jc w:val="both"/>
        <w:rPr>
          <w:b/>
        </w:rPr>
      </w:pPr>
    </w:p>
    <w:p w:rsidR="00C11A9F" w:rsidRPr="00DF50FD" w:rsidRDefault="00C11A9F" w:rsidP="00DF50FD">
      <w:pPr>
        <w:spacing w:after="0" w:line="240" w:lineRule="auto"/>
        <w:ind w:firstLine="567"/>
        <w:jc w:val="both"/>
        <w:rPr>
          <w:b/>
          <w:bCs/>
        </w:rPr>
      </w:pPr>
      <w:r w:rsidRPr="00DF50FD">
        <w:rPr>
          <w:b/>
          <w:bCs/>
        </w:rPr>
        <w:t>Вимоги до заявника</w:t>
      </w:r>
    </w:p>
    <w:p w:rsidR="00C11A9F" w:rsidRPr="00DF50FD" w:rsidRDefault="00B07D7B" w:rsidP="00DF50FD">
      <w:pPr>
        <w:tabs>
          <w:tab w:val="num" w:pos="1440"/>
        </w:tabs>
        <w:spacing w:after="0" w:line="240" w:lineRule="auto"/>
        <w:ind w:firstLine="567"/>
        <w:jc w:val="both"/>
      </w:pPr>
      <w:r w:rsidRPr="00DF50FD">
        <w:t xml:space="preserve">1. </w:t>
      </w:r>
      <w:r w:rsidR="00C11A9F" w:rsidRPr="00DF50FD">
        <w:t xml:space="preserve">Претенденти на </w:t>
      </w:r>
      <w:r w:rsidR="00670673">
        <w:t xml:space="preserve">підтримку грантової ініціативи </w:t>
      </w:r>
      <w:r w:rsidR="00C11A9F" w:rsidRPr="00DF50FD">
        <w:t>мають бути неприбутковими організаціями</w:t>
      </w:r>
      <w:r w:rsidR="00A84AFD">
        <w:t xml:space="preserve">, </w:t>
      </w:r>
      <w:r w:rsidR="00A84AFD" w:rsidRPr="00553342">
        <w:t>навчальними установами</w:t>
      </w:r>
      <w:r w:rsidR="00C11A9F" w:rsidRPr="00DF50FD">
        <w:t xml:space="preserve"> (включно з неурядовими, благодійними організаціями й ін.), зареєстрованими відповідн</w:t>
      </w:r>
      <w:r w:rsidR="00670673">
        <w:t xml:space="preserve">о до законодавства України. Не </w:t>
      </w:r>
      <w:r w:rsidR="00C11A9F" w:rsidRPr="00DF50FD">
        <w:t xml:space="preserve"> будуть </w:t>
      </w:r>
      <w:r w:rsidR="00670673">
        <w:t>підтримані ініціативи комерційних</w:t>
      </w:r>
      <w:r w:rsidR="00C11A9F" w:rsidRPr="00DF50FD">
        <w:t xml:space="preserve"> орган</w:t>
      </w:r>
      <w:r w:rsidR="00670673">
        <w:t>ізацій, політичних партій, релігійних організацій та приватних (фізичних) осіб</w:t>
      </w:r>
      <w:r w:rsidR="00C11A9F" w:rsidRPr="00DF50FD">
        <w:t xml:space="preserve">. </w:t>
      </w:r>
      <w:r w:rsidR="00FC5E79">
        <w:t xml:space="preserve">Заявник </w:t>
      </w:r>
      <w:r w:rsidR="00C11A9F" w:rsidRPr="00DF50FD">
        <w:t>може сформувати партнерство(а) з іншими юридичними особами та організаціями з метою успішного вирішення завдань програми.</w:t>
      </w:r>
    </w:p>
    <w:p w:rsidR="00C11A9F" w:rsidRPr="00DF50FD" w:rsidRDefault="00B07D7B" w:rsidP="00DF50FD">
      <w:pPr>
        <w:spacing w:after="0" w:line="240" w:lineRule="auto"/>
        <w:ind w:firstLine="567"/>
        <w:jc w:val="both"/>
        <w:rPr>
          <w:b/>
          <w:bCs/>
        </w:rPr>
      </w:pPr>
      <w:r w:rsidRPr="00DF50FD">
        <w:t xml:space="preserve">2. </w:t>
      </w:r>
      <w:r w:rsidR="00C11A9F" w:rsidRPr="00DF50FD">
        <w:t xml:space="preserve">Очікувані результати реалізації </w:t>
      </w:r>
      <w:r w:rsidR="00670673">
        <w:t xml:space="preserve">грантової ініціативи </w:t>
      </w:r>
      <w:r w:rsidR="00C11A9F" w:rsidRPr="00DF50FD">
        <w:t>повинні строго відповід</w:t>
      </w:r>
      <w:r w:rsidR="00670673">
        <w:t>ати цілям і завданням програми К</w:t>
      </w:r>
      <w:r w:rsidR="00C11A9F" w:rsidRPr="00DF50FD">
        <w:t>онк</w:t>
      </w:r>
      <w:r w:rsidRPr="00DF50FD">
        <w:t>ур</w:t>
      </w:r>
      <w:r w:rsidR="00670673">
        <w:t>су.</w:t>
      </w:r>
    </w:p>
    <w:p w:rsidR="00B07D7B" w:rsidRPr="00DF50FD" w:rsidRDefault="00B07D7B" w:rsidP="00DF50FD">
      <w:pPr>
        <w:spacing w:after="0" w:line="240" w:lineRule="auto"/>
        <w:ind w:firstLine="567"/>
        <w:jc w:val="both"/>
        <w:rPr>
          <w:b/>
          <w:bCs/>
        </w:rPr>
      </w:pPr>
    </w:p>
    <w:p w:rsidR="00B07D7B" w:rsidRPr="00DF50FD" w:rsidRDefault="00B07D7B" w:rsidP="00DF50FD">
      <w:pPr>
        <w:spacing w:after="0" w:line="240" w:lineRule="auto"/>
        <w:ind w:firstLine="567"/>
        <w:jc w:val="both"/>
        <w:rPr>
          <w:b/>
          <w:bCs/>
        </w:rPr>
      </w:pPr>
      <w:r w:rsidRPr="00DF50FD">
        <w:rPr>
          <w:b/>
          <w:bCs/>
        </w:rPr>
        <w:t>Витрати в межах Конкурсу</w:t>
      </w:r>
    </w:p>
    <w:p w:rsidR="00C11A9F" w:rsidRPr="00DF50FD" w:rsidRDefault="00B07D7B" w:rsidP="00DF50FD">
      <w:pPr>
        <w:spacing w:after="0" w:line="240" w:lineRule="auto"/>
        <w:ind w:firstLine="567"/>
        <w:jc w:val="both"/>
        <w:rPr>
          <w:bCs/>
        </w:rPr>
      </w:pPr>
      <w:r w:rsidRPr="00DF50FD">
        <w:rPr>
          <w:bCs/>
        </w:rPr>
        <w:t xml:space="preserve">1. </w:t>
      </w:r>
      <w:r w:rsidR="00C11A9F" w:rsidRPr="00DF50FD">
        <w:rPr>
          <w:bCs/>
        </w:rPr>
        <w:t>Витрати, які дозволені в межах Конкурсу</w:t>
      </w:r>
      <w:r w:rsidRPr="00DF50FD">
        <w:rPr>
          <w:bCs/>
        </w:rPr>
        <w:t>:</w:t>
      </w:r>
    </w:p>
    <w:p w:rsidR="00C11A9F" w:rsidRPr="00DF50FD" w:rsidRDefault="00C11A9F" w:rsidP="00DF50FD">
      <w:pPr>
        <w:pStyle w:val="a4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Витрати, необхідні для реалізації запропонованих заходів; </w:t>
      </w:r>
    </w:p>
    <w:p w:rsidR="00C11A9F" w:rsidRPr="00DF50FD" w:rsidRDefault="00C11A9F" w:rsidP="00DF50FD">
      <w:pPr>
        <w:pStyle w:val="a4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Витрати, які фактично мають місце протягом реалізації пропозиції; </w:t>
      </w:r>
    </w:p>
    <w:p w:rsidR="00C11A9F" w:rsidRPr="00DF50FD" w:rsidRDefault="00C11A9F" w:rsidP="00DF50FD">
      <w:pPr>
        <w:pStyle w:val="a4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Витрати, які відповідають вимогам доцільності, в тому числі принципам "найвищої якості за найнижчою ціною" та економічної ефективності; </w:t>
      </w:r>
    </w:p>
    <w:p w:rsidR="00C11A9F" w:rsidRPr="00DF50FD" w:rsidRDefault="00C11A9F" w:rsidP="00DF50FD">
      <w:pPr>
        <w:pStyle w:val="a4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Витрати, які були належним чином оформлені, виправдані і зрозумілі, а також підтверджені відповідною документацією в фінансовій та бухгалтерській звітності. </w:t>
      </w:r>
    </w:p>
    <w:p w:rsidR="00C11A9F" w:rsidRPr="00DF50FD" w:rsidRDefault="00B07D7B" w:rsidP="00DF50FD">
      <w:pPr>
        <w:spacing w:after="0" w:line="240" w:lineRule="auto"/>
        <w:ind w:firstLine="567"/>
        <w:jc w:val="both"/>
        <w:rPr>
          <w:bCs/>
        </w:rPr>
      </w:pPr>
      <w:r w:rsidRPr="00DF50FD">
        <w:rPr>
          <w:bCs/>
        </w:rPr>
        <w:t xml:space="preserve">2. </w:t>
      </w:r>
      <w:r w:rsidR="00553342">
        <w:rPr>
          <w:bCs/>
        </w:rPr>
        <w:t>Грант</w:t>
      </w:r>
      <w:r w:rsidR="009C1259">
        <w:rPr>
          <w:bCs/>
        </w:rPr>
        <w:t>ова ініціатива</w:t>
      </w:r>
      <w:r w:rsidR="00553342">
        <w:rPr>
          <w:bCs/>
        </w:rPr>
        <w:t xml:space="preserve"> може включати</w:t>
      </w:r>
      <w:r w:rsidR="00C11A9F" w:rsidRPr="00DF50FD">
        <w:rPr>
          <w:bCs/>
        </w:rPr>
        <w:t xml:space="preserve"> витрати на: </w:t>
      </w:r>
    </w:p>
    <w:p w:rsidR="00FC5E79" w:rsidRPr="00DF50FD" w:rsidRDefault="00FC5E79" w:rsidP="00FC5E79">
      <w:pPr>
        <w:pStyle w:val="a4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Матеріали/обладнання для досягнення завдань проекту; </w:t>
      </w:r>
    </w:p>
    <w:p w:rsidR="00C11A9F" w:rsidRPr="00DF50FD" w:rsidRDefault="00C11A9F" w:rsidP="00DF50FD">
      <w:pPr>
        <w:pStyle w:val="a4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Закупівлю консультаційних послуг (за умови, що вони необхідні для досягнення цілей пропозиції); </w:t>
      </w:r>
    </w:p>
    <w:p w:rsidR="00C11A9F" w:rsidRPr="00DF50FD" w:rsidRDefault="00C11A9F" w:rsidP="00DF50FD">
      <w:pPr>
        <w:pStyle w:val="a4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 xml:space="preserve">Послуги з організації заходів; </w:t>
      </w:r>
    </w:p>
    <w:p w:rsidR="00C11A9F" w:rsidRPr="00DF50FD" w:rsidRDefault="00C11A9F" w:rsidP="00DF50FD">
      <w:pPr>
        <w:pStyle w:val="a4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DF50FD">
        <w:rPr>
          <w:rFonts w:ascii="Arial" w:hAnsi="Arial" w:cs="Arial"/>
        </w:rPr>
        <w:t>Друк і копіювання, у</w:t>
      </w:r>
      <w:r w:rsidR="00FC5E79">
        <w:rPr>
          <w:rFonts w:ascii="Arial" w:hAnsi="Arial" w:cs="Arial"/>
        </w:rPr>
        <w:t xml:space="preserve"> тому числі розробку продукції.</w:t>
      </w:r>
    </w:p>
    <w:p w:rsidR="00A84AFD" w:rsidRDefault="00A84AFD" w:rsidP="00DF50FD">
      <w:pPr>
        <w:spacing w:after="0" w:line="240" w:lineRule="auto"/>
        <w:ind w:firstLine="567"/>
        <w:jc w:val="both"/>
        <w:rPr>
          <w:bCs/>
        </w:rPr>
      </w:pPr>
    </w:p>
    <w:p w:rsidR="00C11A9F" w:rsidRPr="00DF50FD" w:rsidRDefault="00B07D7B" w:rsidP="00DF50FD">
      <w:pPr>
        <w:spacing w:after="0" w:line="240" w:lineRule="auto"/>
        <w:ind w:firstLine="567"/>
        <w:jc w:val="both"/>
        <w:rPr>
          <w:bCs/>
        </w:rPr>
      </w:pPr>
      <w:r w:rsidRPr="00DF50FD">
        <w:rPr>
          <w:bCs/>
        </w:rPr>
        <w:t xml:space="preserve">3. </w:t>
      </w:r>
      <w:r w:rsidR="00C11A9F" w:rsidRPr="00DF50FD">
        <w:rPr>
          <w:bCs/>
        </w:rPr>
        <w:t>Категорії витрат, які не покриваються</w:t>
      </w:r>
      <w:r w:rsidRPr="00DF50FD">
        <w:rPr>
          <w:bCs/>
        </w:rPr>
        <w:t>: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Витрати, пов'язані з роботами, які насправді були виконані до підписання угоди;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Оплата комунальних послуг, орендна плата, паливо та мастильні матеріали;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Витрати, не пов'язані із грантовою заявкою, представленою під час процесу подання заявок на конкурс, і витрати, що охоплюють незаплановані збитки;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Участь у будь-яких навчальних програмах;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Матеріальна та гуманітарна допомога приватним особам і групам осіб;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Витрати, пов'язані з релігійною та політичною діяльністю;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 xml:space="preserve">Виплата боргів; </w:t>
      </w:r>
    </w:p>
    <w:p w:rsidR="00C11A9F" w:rsidRPr="00DF50FD" w:rsidRDefault="00C11A9F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 xml:space="preserve">Компенсація витрат, пов'язаних з коливаннями валютних курсів; </w:t>
      </w:r>
    </w:p>
    <w:p w:rsidR="00C11A9F" w:rsidRPr="00DF50FD" w:rsidRDefault="00B07D7B" w:rsidP="008F7C91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567"/>
        <w:jc w:val="both"/>
      </w:pPr>
      <w:r w:rsidRPr="00DF50FD">
        <w:t>Оренда офісу.</w:t>
      </w:r>
    </w:p>
    <w:p w:rsidR="00B07D7B" w:rsidRPr="00DF50FD" w:rsidRDefault="00B07D7B" w:rsidP="00DF50FD">
      <w:pPr>
        <w:spacing w:after="0" w:line="240" w:lineRule="auto"/>
        <w:ind w:firstLine="567"/>
        <w:jc w:val="both"/>
        <w:rPr>
          <w:b/>
          <w:bCs/>
        </w:rPr>
      </w:pPr>
    </w:p>
    <w:p w:rsidR="00C11A9F" w:rsidRPr="00DF50FD" w:rsidRDefault="00EF44E8" w:rsidP="00DF50FD">
      <w:pPr>
        <w:spacing w:after="0" w:line="240" w:lineRule="auto"/>
        <w:ind w:firstLine="567"/>
        <w:jc w:val="both"/>
        <w:rPr>
          <w:b/>
          <w:bCs/>
        </w:rPr>
      </w:pPr>
      <w:r w:rsidRPr="00DF50FD">
        <w:rPr>
          <w:b/>
          <w:bCs/>
        </w:rPr>
        <w:t>Вимоги до проектної пропозиції</w:t>
      </w:r>
    </w:p>
    <w:p w:rsidR="00C11A9F" w:rsidRPr="00DF50FD" w:rsidRDefault="00B07D7B" w:rsidP="00DF50FD">
      <w:pPr>
        <w:spacing w:after="0" w:line="240" w:lineRule="auto"/>
        <w:ind w:firstLine="567"/>
        <w:jc w:val="both"/>
      </w:pPr>
      <w:r w:rsidRPr="009C1259">
        <w:t xml:space="preserve">1. </w:t>
      </w:r>
      <w:r w:rsidR="00C11A9F" w:rsidRPr="009C1259">
        <w:t>При</w:t>
      </w:r>
      <w:r w:rsidR="00EF44E8" w:rsidRPr="009C1259">
        <w:t>йом проектних пропозицій</w:t>
      </w:r>
      <w:r w:rsidR="00C11A9F" w:rsidRPr="009C1259">
        <w:t xml:space="preserve"> </w:t>
      </w:r>
      <w:r w:rsidR="009C1259">
        <w:t xml:space="preserve">на підтримку грантової ініціативи </w:t>
      </w:r>
      <w:r w:rsidR="00C11A9F" w:rsidRPr="009C1259">
        <w:t xml:space="preserve">відкритий </w:t>
      </w:r>
      <w:r w:rsidR="00C11A9F" w:rsidRPr="00670673">
        <w:rPr>
          <w:b/>
        </w:rPr>
        <w:t xml:space="preserve">до </w:t>
      </w:r>
      <w:r w:rsidR="00385901" w:rsidRPr="00670673">
        <w:rPr>
          <w:b/>
        </w:rPr>
        <w:t>18 листопада</w:t>
      </w:r>
      <w:r w:rsidRPr="00670673">
        <w:rPr>
          <w:b/>
          <w:lang w:val="ru-RU"/>
        </w:rPr>
        <w:t xml:space="preserve"> </w:t>
      </w:r>
      <w:r w:rsidR="00C11A9F" w:rsidRPr="00670673">
        <w:rPr>
          <w:b/>
        </w:rPr>
        <w:t>2016 р</w:t>
      </w:r>
      <w:r w:rsidRPr="00670673">
        <w:rPr>
          <w:b/>
        </w:rPr>
        <w:t>оку</w:t>
      </w:r>
      <w:r w:rsidR="00A84AFD" w:rsidRPr="00670673">
        <w:rPr>
          <w:b/>
        </w:rPr>
        <w:t xml:space="preserve"> до 17.00 годин за київським часом</w:t>
      </w:r>
      <w:r w:rsidR="008007F2" w:rsidRPr="00670673">
        <w:rPr>
          <w:b/>
        </w:rPr>
        <w:t xml:space="preserve">  на електронну адресу </w:t>
      </w:r>
      <w:proofErr w:type="spellStart"/>
      <w:r w:rsidR="008007F2" w:rsidRPr="00670673">
        <w:rPr>
          <w:b/>
          <w:lang w:val="en-US"/>
        </w:rPr>
        <w:t>osvita</w:t>
      </w:r>
      <w:proofErr w:type="spellEnd"/>
      <w:r w:rsidR="008007F2" w:rsidRPr="00670673">
        <w:rPr>
          <w:b/>
          <w:lang w:val="ru-RU"/>
        </w:rPr>
        <w:t>_</w:t>
      </w:r>
      <w:r w:rsidR="008007F2" w:rsidRPr="00670673">
        <w:rPr>
          <w:b/>
          <w:lang w:val="en-US"/>
        </w:rPr>
        <w:t>development</w:t>
      </w:r>
      <w:r w:rsidR="008007F2" w:rsidRPr="00670673">
        <w:rPr>
          <w:b/>
          <w:lang w:val="ru-RU"/>
        </w:rPr>
        <w:t>@</w:t>
      </w:r>
      <w:proofErr w:type="spellStart"/>
      <w:r w:rsidR="008007F2" w:rsidRPr="00670673">
        <w:rPr>
          <w:b/>
          <w:lang w:val="en-US"/>
        </w:rPr>
        <w:t>ukr</w:t>
      </w:r>
      <w:proofErr w:type="spellEnd"/>
      <w:r w:rsidR="008007F2" w:rsidRPr="00670673">
        <w:rPr>
          <w:b/>
          <w:lang w:val="ru-RU"/>
        </w:rPr>
        <w:t>.</w:t>
      </w:r>
      <w:r w:rsidR="008007F2" w:rsidRPr="00670673">
        <w:rPr>
          <w:b/>
          <w:lang w:val="en-US"/>
        </w:rPr>
        <w:t>net</w:t>
      </w:r>
      <w:r w:rsidR="00C11A9F" w:rsidRPr="00670673">
        <w:rPr>
          <w:b/>
        </w:rPr>
        <w:t>.</w:t>
      </w:r>
      <w:r w:rsidR="008F7C91" w:rsidRPr="00670673">
        <w:rPr>
          <w:b/>
        </w:rPr>
        <w:t xml:space="preserve"> </w:t>
      </w:r>
      <w:r w:rsidR="00C11A9F" w:rsidRPr="009C1259">
        <w:t xml:space="preserve"> Жодні заявки, отримані після вказаного терміну, розглядатися не будуть.</w:t>
      </w:r>
    </w:p>
    <w:p w:rsidR="00EF44E8" w:rsidRPr="00DF50FD" w:rsidRDefault="00EF44E8" w:rsidP="00DF50FD">
      <w:pPr>
        <w:spacing w:after="0" w:line="240" w:lineRule="auto"/>
        <w:ind w:firstLine="567"/>
        <w:jc w:val="both"/>
      </w:pPr>
      <w:r w:rsidRPr="00DF50FD">
        <w:t>2. Проектні пропозиції повинні бути оформлені згідно Форми проектної пропозиції.</w:t>
      </w:r>
    </w:p>
    <w:p w:rsidR="00C11A9F" w:rsidRPr="00DF50FD" w:rsidRDefault="00EF44E8" w:rsidP="00DF50FD">
      <w:pPr>
        <w:spacing w:after="0" w:line="240" w:lineRule="auto"/>
        <w:ind w:firstLine="567"/>
        <w:jc w:val="both"/>
      </w:pPr>
      <w:r w:rsidRPr="00DF50FD">
        <w:t>3</w:t>
      </w:r>
      <w:r w:rsidR="00B07D7B" w:rsidRPr="00DF50FD">
        <w:t xml:space="preserve">. </w:t>
      </w:r>
      <w:r w:rsidRPr="00DF50FD">
        <w:t>Форму проектної пропозиції</w:t>
      </w:r>
      <w:r w:rsidR="00B07D7B" w:rsidRPr="00DF50FD">
        <w:t xml:space="preserve"> можна отримати на сайті «Освіта в інтересах сталого розвитку в Україні»</w:t>
      </w:r>
      <w:r w:rsidRPr="00DF50FD">
        <w:t xml:space="preserve"> – </w:t>
      </w:r>
      <w:hyperlink r:id="rId5" w:history="1">
        <w:r w:rsidRPr="00DF50FD">
          <w:rPr>
            <w:rStyle w:val="a3"/>
            <w:rFonts w:cs="Arial"/>
          </w:rPr>
          <w:t>http://www.ecoosvita.org.ua</w:t>
        </w:r>
      </w:hyperlink>
      <w:r w:rsidR="008F7C91">
        <w:rPr>
          <w:rStyle w:val="a3"/>
          <w:rFonts w:cs="Arial"/>
        </w:rPr>
        <w:t xml:space="preserve">. </w:t>
      </w:r>
    </w:p>
    <w:p w:rsidR="00C11A9F" w:rsidRPr="00DF50FD" w:rsidRDefault="00E224C6" w:rsidP="00DF50FD">
      <w:pPr>
        <w:spacing w:after="0" w:line="240" w:lineRule="auto"/>
        <w:ind w:firstLine="567"/>
        <w:jc w:val="both"/>
      </w:pPr>
      <w:r w:rsidRPr="00DF50FD">
        <w:t>4.</w:t>
      </w:r>
      <w:r w:rsidRPr="00DF50FD">
        <w:rPr>
          <w:b/>
        </w:rPr>
        <w:t xml:space="preserve"> </w:t>
      </w:r>
      <w:r w:rsidR="00EF44E8" w:rsidRPr="00DF50FD">
        <w:t>Проектні пропозиції повинні в</w:t>
      </w:r>
      <w:r w:rsidR="00C11A9F" w:rsidRPr="00DF50FD">
        <w:t xml:space="preserve">ідповідати основній меті </w:t>
      </w:r>
      <w:r w:rsidR="00EF44E8" w:rsidRPr="00DF50FD">
        <w:t>Конкурсу</w:t>
      </w:r>
      <w:r w:rsidR="00C11A9F" w:rsidRPr="00DF50FD">
        <w:t>, а саме бути с</w:t>
      </w:r>
      <w:r w:rsidR="00C11A9F" w:rsidRPr="00DF50FD">
        <w:rPr>
          <w:shd w:val="clear" w:color="auto" w:fill="FFFFFF"/>
        </w:rPr>
        <w:t xml:space="preserve">прямованими на </w:t>
      </w:r>
      <w:r w:rsidR="00385901">
        <w:t>підтримку сталого розвитку молодіжної (дитячої) громади</w:t>
      </w:r>
      <w:r w:rsidR="00C11A9F" w:rsidRPr="00DF50FD">
        <w:t>.</w:t>
      </w:r>
    </w:p>
    <w:p w:rsidR="00C11A9F" w:rsidRPr="00DF50FD" w:rsidRDefault="00E224C6" w:rsidP="00DF50FD">
      <w:pPr>
        <w:spacing w:after="0" w:line="240" w:lineRule="auto"/>
        <w:ind w:firstLine="567"/>
        <w:jc w:val="both"/>
        <w:rPr>
          <w:b/>
        </w:rPr>
      </w:pPr>
      <w:r w:rsidRPr="00DF50FD">
        <w:t>5. Пропозиції повинні в</w:t>
      </w:r>
      <w:r w:rsidR="00C11A9F" w:rsidRPr="00DF50FD">
        <w:t>ідповідати всім або кільком принципам ГЕФ та ПРООН у роботі з громадами</w:t>
      </w:r>
      <w:r w:rsidR="00C11A9F" w:rsidRPr="00DF50FD">
        <w:rPr>
          <w:i/>
        </w:rPr>
        <w:t>:</w:t>
      </w:r>
      <w:r w:rsidR="00C11A9F" w:rsidRPr="00DF50FD">
        <w:t xml:space="preserve"> місцеві дії – глобальні переваги, вимірювальний вплив, подолання бідності і покращення якості життя, розвиток інституційної спроможності, поширення обізнаності, розбудова і посилення партнерст</w:t>
      </w:r>
      <w:r w:rsidRPr="00DF50FD">
        <w:t>ва, досягнення сталого розвитку.</w:t>
      </w:r>
    </w:p>
    <w:p w:rsidR="00C11A9F" w:rsidRPr="00DF50FD" w:rsidRDefault="00E224C6" w:rsidP="00DF50FD">
      <w:pPr>
        <w:spacing w:after="0" w:line="240" w:lineRule="auto"/>
        <w:ind w:firstLine="567"/>
        <w:jc w:val="both"/>
      </w:pPr>
      <w:r w:rsidRPr="00DF50FD">
        <w:t xml:space="preserve">6. </w:t>
      </w:r>
      <w:r w:rsidR="00670673">
        <w:t>Ініціатива має бути багатофункціональною</w:t>
      </w:r>
      <w:r w:rsidR="00C11A9F" w:rsidRPr="00DF50FD">
        <w:t>, наприклад, мати три або більше наступних можливих типів проектної діяльності/ компонентів:</w:t>
      </w:r>
    </w:p>
    <w:p w:rsidR="00C11A9F" w:rsidRPr="00DF50FD" w:rsidRDefault="00E224C6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>Активна практична діяльність;</w:t>
      </w:r>
    </w:p>
    <w:p w:rsidR="00C11A9F" w:rsidRPr="00DF50FD" w:rsidRDefault="00C11A9F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 xml:space="preserve">Демонстраційно-інвестиційна діяльність </w:t>
      </w:r>
      <w:r w:rsidR="00E224C6" w:rsidRPr="00DF50FD">
        <w:t>(соціально-економічний ефект);</w:t>
      </w:r>
    </w:p>
    <w:p w:rsidR="00C11A9F" w:rsidRPr="00DF50FD" w:rsidRDefault="00C11A9F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>Освітня та навчальна діяльність</w:t>
      </w:r>
      <w:r w:rsidR="00E224C6" w:rsidRPr="00DF50FD">
        <w:t>, підвищення поінформованості;</w:t>
      </w:r>
    </w:p>
    <w:p w:rsidR="00E224C6" w:rsidRPr="00DF50FD" w:rsidRDefault="00C11A9F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>Навчання та посилення інституційної спроможності</w:t>
      </w:r>
      <w:r w:rsidR="00E224C6" w:rsidRPr="00DF50FD">
        <w:t>;</w:t>
      </w:r>
    </w:p>
    <w:p w:rsidR="00E224C6" w:rsidRPr="00DF50FD" w:rsidRDefault="00C11A9F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 xml:space="preserve">Бути інноваційним порівняно з іншими проектами; </w:t>
      </w:r>
    </w:p>
    <w:p w:rsidR="00C11A9F" w:rsidRPr="00DF50FD" w:rsidRDefault="00E224C6" w:rsidP="00DF50FD">
      <w:pPr>
        <w:numPr>
          <w:ilvl w:val="1"/>
          <w:numId w:val="7"/>
        </w:numPr>
        <w:spacing w:after="0" w:line="240" w:lineRule="auto"/>
        <w:ind w:left="0" w:firstLine="567"/>
        <w:jc w:val="both"/>
      </w:pPr>
      <w:r w:rsidRPr="00DF50FD">
        <w:t>М</w:t>
      </w:r>
      <w:r w:rsidR="00C11A9F" w:rsidRPr="00DF50FD">
        <w:t xml:space="preserve">ати чи забезпечити </w:t>
      </w:r>
      <w:r w:rsidR="00385901">
        <w:t>додаткове фінансування.</w:t>
      </w:r>
    </w:p>
    <w:p w:rsidR="00C11A9F" w:rsidRPr="00DF50FD" w:rsidRDefault="00E224C6" w:rsidP="00DF50FD">
      <w:pPr>
        <w:spacing w:after="0" w:line="240" w:lineRule="auto"/>
        <w:ind w:firstLine="567"/>
        <w:jc w:val="both"/>
      </w:pPr>
      <w:r w:rsidRPr="00DF50FD">
        <w:t xml:space="preserve">7. </w:t>
      </w:r>
      <w:r w:rsidR="00C11A9F" w:rsidRPr="00DF50FD">
        <w:t>Відповідати або не бути в протиріччі з національними пріоритетами, захистом навколишнього природного середовища і іншими законами, стратегіями розвитку, програмами і запланованою діяльністю країни.</w:t>
      </w:r>
    </w:p>
    <w:p w:rsidR="00C11A9F" w:rsidRPr="00DF50FD" w:rsidRDefault="00E224C6" w:rsidP="00DF50FD">
      <w:pPr>
        <w:spacing w:after="0" w:line="240" w:lineRule="auto"/>
        <w:ind w:firstLine="567"/>
        <w:jc w:val="both"/>
      </w:pPr>
      <w:r w:rsidRPr="00DF50FD">
        <w:t xml:space="preserve">8. </w:t>
      </w:r>
      <w:r w:rsidR="00C11A9F" w:rsidRPr="00DF50FD">
        <w:t>Забезпечувати своєчасний моніторинг і оцінку проекту, який буде здійснюватись учасниками та партнерами проекту.</w:t>
      </w:r>
    </w:p>
    <w:p w:rsidR="00C11A9F" w:rsidRPr="00DF50FD" w:rsidRDefault="00E224C6" w:rsidP="00DF50FD">
      <w:pPr>
        <w:spacing w:after="0" w:line="240" w:lineRule="auto"/>
        <w:ind w:firstLine="567"/>
        <w:jc w:val="both"/>
      </w:pPr>
      <w:r w:rsidRPr="00DF50FD">
        <w:t>9. Проектна пропозиція повинна бути чіткою та деталізованою</w:t>
      </w:r>
      <w:r w:rsidR="00C11A9F" w:rsidRPr="00DF50FD">
        <w:t xml:space="preserve">, </w:t>
      </w:r>
      <w:r w:rsidRPr="00DF50FD">
        <w:t>де</w:t>
      </w:r>
      <w:r w:rsidR="00C11A9F" w:rsidRPr="00DF50FD">
        <w:t xml:space="preserve"> проектна діяльність логічно поєднана із запланованими </w:t>
      </w:r>
      <w:r w:rsidR="00C11A9F" w:rsidRPr="009C1259">
        <w:t>результатами, мати збалансований, максимально деталізований бюджет, а також необхідні додатки.</w:t>
      </w:r>
      <w:r w:rsidR="009C1259" w:rsidRPr="009C1259">
        <w:rPr>
          <w:lang w:val="ru-RU"/>
        </w:rPr>
        <w:t xml:space="preserve"> </w:t>
      </w:r>
      <w:r w:rsidR="009C1259" w:rsidRPr="009C1259">
        <w:rPr>
          <w:lang w:val="ru-RU"/>
        </w:rPr>
        <w:t xml:space="preserve">До </w:t>
      </w:r>
      <w:proofErr w:type="spellStart"/>
      <w:r w:rsidR="009C1259" w:rsidRPr="009C1259">
        <w:rPr>
          <w:lang w:val="ru-RU"/>
        </w:rPr>
        <w:t>проектної</w:t>
      </w:r>
      <w:proofErr w:type="spellEnd"/>
      <w:r w:rsidR="009C1259" w:rsidRPr="009C1259">
        <w:rPr>
          <w:lang w:val="ru-RU"/>
        </w:rPr>
        <w:t xml:space="preserve"> </w:t>
      </w:r>
      <w:proofErr w:type="spellStart"/>
      <w:r w:rsidR="009C1259" w:rsidRPr="009C1259">
        <w:rPr>
          <w:lang w:val="ru-RU"/>
        </w:rPr>
        <w:t>пропозиц</w:t>
      </w:r>
      <w:r w:rsidR="009C1259" w:rsidRPr="009C1259">
        <w:t>ії</w:t>
      </w:r>
      <w:proofErr w:type="spellEnd"/>
      <w:r w:rsidR="009C1259" w:rsidRPr="009C1259">
        <w:t xml:space="preserve"> можна додавати листи-підтримки від партнерів та учасників (навчальний заклад, громадська організація тощо), а також фото- та інші матеріали, які допомагають розкрити суть проекту</w:t>
      </w:r>
      <w:r w:rsidR="009C1259">
        <w:t xml:space="preserve"> та наміри. </w:t>
      </w:r>
    </w:p>
    <w:p w:rsidR="00C11A9F" w:rsidRDefault="00C11A9F" w:rsidP="00DF50FD">
      <w:pPr>
        <w:tabs>
          <w:tab w:val="num" w:pos="2880"/>
        </w:tabs>
        <w:spacing w:after="0" w:line="240" w:lineRule="auto"/>
        <w:ind w:firstLine="567"/>
        <w:jc w:val="both"/>
      </w:pPr>
    </w:p>
    <w:p w:rsidR="00670673" w:rsidRDefault="00670673" w:rsidP="00DF50FD">
      <w:pPr>
        <w:tabs>
          <w:tab w:val="num" w:pos="2880"/>
        </w:tabs>
        <w:spacing w:after="0" w:line="240" w:lineRule="auto"/>
        <w:ind w:firstLine="567"/>
        <w:jc w:val="both"/>
      </w:pPr>
    </w:p>
    <w:p w:rsidR="00670673" w:rsidRPr="00DF50FD" w:rsidRDefault="00670673" w:rsidP="00DF50FD">
      <w:pPr>
        <w:tabs>
          <w:tab w:val="num" w:pos="2880"/>
        </w:tabs>
        <w:spacing w:after="0" w:line="240" w:lineRule="auto"/>
        <w:ind w:firstLine="567"/>
        <w:jc w:val="both"/>
      </w:pPr>
      <w:bookmarkStart w:id="0" w:name="_GoBack"/>
      <w:bookmarkEnd w:id="0"/>
    </w:p>
    <w:p w:rsidR="00DF50FD" w:rsidRPr="00DF50FD" w:rsidRDefault="00DF50FD" w:rsidP="00DF50FD">
      <w:pPr>
        <w:spacing w:after="0" w:line="240" w:lineRule="auto"/>
        <w:ind w:firstLine="567"/>
        <w:jc w:val="both"/>
      </w:pPr>
      <w:r w:rsidRPr="00DF50FD">
        <w:rPr>
          <w:b/>
        </w:rPr>
        <w:t xml:space="preserve">Терміни проведення </w:t>
      </w:r>
      <w:r>
        <w:rPr>
          <w:b/>
        </w:rPr>
        <w:t>Конкурсу</w:t>
      </w:r>
    </w:p>
    <w:p w:rsidR="00DF50FD" w:rsidRPr="00DF50FD" w:rsidRDefault="00DF50FD" w:rsidP="00DF50FD">
      <w:pPr>
        <w:spacing w:after="0" w:line="240" w:lineRule="auto"/>
        <w:ind w:firstLine="567"/>
        <w:jc w:val="both"/>
      </w:pPr>
      <w:r w:rsidRPr="00DF50FD">
        <w:t xml:space="preserve">Прийом заявок – </w:t>
      </w:r>
      <w:r w:rsidR="00385901">
        <w:t xml:space="preserve">до 18 </w:t>
      </w:r>
      <w:r w:rsidR="00385901">
        <w:rPr>
          <w:i/>
        </w:rPr>
        <w:t xml:space="preserve">листопада </w:t>
      </w:r>
      <w:r w:rsidRPr="00DF50FD">
        <w:rPr>
          <w:i/>
        </w:rPr>
        <w:t xml:space="preserve">2016 </w:t>
      </w:r>
    </w:p>
    <w:p w:rsidR="00DF50FD" w:rsidRPr="00DF50FD" w:rsidRDefault="00DF50FD" w:rsidP="00DF50FD">
      <w:pPr>
        <w:spacing w:after="0" w:line="240" w:lineRule="auto"/>
        <w:ind w:firstLine="567"/>
        <w:jc w:val="both"/>
      </w:pPr>
      <w:r w:rsidRPr="00DF50FD">
        <w:t>Оцінка заявок та оголошення переможців –</w:t>
      </w:r>
      <w:r w:rsidR="00385901">
        <w:rPr>
          <w:i/>
        </w:rPr>
        <w:t xml:space="preserve"> листопад-грудень </w:t>
      </w:r>
      <w:r w:rsidRPr="00DF50FD">
        <w:rPr>
          <w:i/>
        </w:rPr>
        <w:t xml:space="preserve">2016 </w:t>
      </w:r>
    </w:p>
    <w:p w:rsidR="00DF50FD" w:rsidRPr="00DF50FD" w:rsidRDefault="009C1259" w:rsidP="00DF50FD">
      <w:pPr>
        <w:spacing w:after="0" w:line="240" w:lineRule="auto"/>
        <w:ind w:firstLine="567"/>
        <w:jc w:val="both"/>
        <w:rPr>
          <w:i/>
        </w:rPr>
      </w:pPr>
      <w:r>
        <w:t xml:space="preserve">Реалізація та підтримка ініціативи </w:t>
      </w:r>
      <w:r w:rsidR="00DF50FD" w:rsidRPr="00DF50FD">
        <w:t>–</w:t>
      </w:r>
      <w:r w:rsidR="00385901">
        <w:rPr>
          <w:i/>
        </w:rPr>
        <w:t>грудень 2016</w:t>
      </w:r>
      <w:r>
        <w:rPr>
          <w:i/>
        </w:rPr>
        <w:t xml:space="preserve"> – березень 2017</w:t>
      </w:r>
    </w:p>
    <w:p w:rsidR="00DF50FD" w:rsidRPr="00DF50FD" w:rsidRDefault="00DF50FD" w:rsidP="00DF50FD">
      <w:pPr>
        <w:tabs>
          <w:tab w:val="num" w:pos="2880"/>
        </w:tabs>
        <w:spacing w:after="0" w:line="240" w:lineRule="auto"/>
        <w:ind w:firstLine="567"/>
        <w:jc w:val="both"/>
      </w:pPr>
    </w:p>
    <w:p w:rsidR="000473A5" w:rsidRPr="00DF50FD" w:rsidRDefault="000473A5" w:rsidP="00DF50FD">
      <w:pPr>
        <w:tabs>
          <w:tab w:val="num" w:pos="2880"/>
        </w:tabs>
        <w:spacing w:after="0" w:line="240" w:lineRule="auto"/>
        <w:ind w:firstLine="567"/>
        <w:jc w:val="both"/>
        <w:rPr>
          <w:b/>
        </w:rPr>
      </w:pPr>
      <w:r w:rsidRPr="00DF50FD">
        <w:rPr>
          <w:b/>
        </w:rPr>
        <w:t>Умови конкурсу</w:t>
      </w:r>
    </w:p>
    <w:p w:rsidR="00C11A9F" w:rsidRPr="00DF50FD" w:rsidRDefault="000473A5" w:rsidP="00DF50FD">
      <w:pPr>
        <w:spacing w:after="0" w:line="240" w:lineRule="auto"/>
        <w:ind w:firstLine="567"/>
        <w:jc w:val="both"/>
      </w:pPr>
      <w:r w:rsidRPr="00DF50FD">
        <w:t xml:space="preserve">1. </w:t>
      </w:r>
      <w:r w:rsidR="00C11A9F" w:rsidRPr="00DF50FD">
        <w:t>Заявник самостійно відшкодовує всі витрати, пов'язані з підготовкою даної заявки.</w:t>
      </w:r>
    </w:p>
    <w:p w:rsidR="00385901" w:rsidRDefault="000473A5" w:rsidP="00DF50FD">
      <w:pPr>
        <w:spacing w:after="0" w:line="240" w:lineRule="auto"/>
        <w:ind w:firstLine="567"/>
        <w:jc w:val="both"/>
      </w:pPr>
      <w:r w:rsidRPr="00DF50FD">
        <w:t xml:space="preserve">2. </w:t>
      </w:r>
      <w:r w:rsidR="00C11A9F" w:rsidRPr="00DF50FD">
        <w:t>Заявник несе повну та персональну відповідальність за отримання всіх відповідних ліцензій, дозволів та погоджень від відповідних компетентних органів, необхідни</w:t>
      </w:r>
      <w:r w:rsidR="009C1259">
        <w:t>х для реалізації завдання грантової ініціативи</w:t>
      </w:r>
      <w:r w:rsidR="00C11A9F" w:rsidRPr="00DF50FD">
        <w:t xml:space="preserve">, за рахунок власних витрат заявника. </w:t>
      </w:r>
    </w:p>
    <w:p w:rsidR="008007F2" w:rsidRPr="009C1259" w:rsidRDefault="00DF50FD" w:rsidP="00DF50FD">
      <w:pPr>
        <w:spacing w:after="0" w:line="240" w:lineRule="auto"/>
        <w:ind w:firstLine="567"/>
        <w:jc w:val="both"/>
        <w:rPr>
          <w:color w:val="FF0000"/>
          <w:shd w:val="clear" w:color="auto" w:fill="FFFFFF"/>
        </w:rPr>
      </w:pPr>
      <w:r w:rsidRPr="009C1259">
        <w:rPr>
          <w:rFonts w:eastAsiaTheme="minorEastAsia"/>
          <w:lang w:eastAsia="uk-UA"/>
        </w:rPr>
        <w:t xml:space="preserve">3. </w:t>
      </w:r>
      <w:r w:rsidRPr="009C1259">
        <w:t>Проектну пропозицію</w:t>
      </w:r>
      <w:r w:rsidR="00C11A9F" w:rsidRPr="009C1259">
        <w:t>, підготовлену</w:t>
      </w:r>
      <w:r w:rsidR="008007F2" w:rsidRPr="009C1259">
        <w:rPr>
          <w:lang w:val="ru-RU"/>
        </w:rPr>
        <w:t xml:space="preserve"> </w:t>
      </w:r>
      <w:r w:rsidR="00C11A9F" w:rsidRPr="009C1259">
        <w:t xml:space="preserve"> відповідно до передбачених вимог, необхідно надіслати </w:t>
      </w:r>
      <w:r w:rsidR="008007F2" w:rsidRPr="009C1259">
        <w:t xml:space="preserve">до </w:t>
      </w:r>
      <w:r w:rsidR="008007F2" w:rsidRPr="009C1259">
        <w:rPr>
          <w:lang w:val="ru-RU"/>
        </w:rPr>
        <w:t>18 листопада</w:t>
      </w:r>
      <w:r w:rsidRPr="009C1259">
        <w:t xml:space="preserve"> 2016 року на електронну адресу</w:t>
      </w:r>
      <w:r w:rsidR="008007F2" w:rsidRPr="009C1259">
        <w:rPr>
          <w:lang w:val="ru-RU"/>
        </w:rPr>
        <w:t xml:space="preserve"> </w:t>
      </w:r>
      <w:hyperlink r:id="rId6" w:history="1">
        <w:r w:rsidR="008007F2" w:rsidRPr="009C1259">
          <w:rPr>
            <w:rStyle w:val="a3"/>
            <w:rFonts w:cs="Arial"/>
            <w:color w:val="FF0000"/>
            <w:shd w:val="clear" w:color="auto" w:fill="FFFFFF"/>
          </w:rPr>
          <w:t>osvita_development@ukr.net</w:t>
        </w:r>
      </w:hyperlink>
      <w:r w:rsidRPr="009C1259">
        <w:t xml:space="preserve"> (тему листа вказати «К</w:t>
      </w:r>
      <w:r w:rsidR="008007F2" w:rsidRPr="009C1259">
        <w:t>онкурс проектних пропозицій»).</w:t>
      </w:r>
    </w:p>
    <w:p w:rsidR="00C11A9F" w:rsidRPr="009C1259" w:rsidRDefault="00DF50FD" w:rsidP="00DF50FD">
      <w:pPr>
        <w:spacing w:after="0" w:line="240" w:lineRule="auto"/>
        <w:ind w:firstLine="567"/>
        <w:jc w:val="both"/>
      </w:pPr>
      <w:r w:rsidRPr="009C1259">
        <w:t xml:space="preserve">4. </w:t>
      </w:r>
      <w:r w:rsidR="00C11A9F" w:rsidRPr="009C1259">
        <w:t xml:space="preserve">Заявнику особисто не повідомлятиметься про те, що заявка прийнята. </w:t>
      </w:r>
    </w:p>
    <w:p w:rsidR="00BE6628" w:rsidRPr="00DF50FD" w:rsidRDefault="00BE6628" w:rsidP="00DF50FD">
      <w:pPr>
        <w:spacing w:after="0" w:line="240" w:lineRule="auto"/>
        <w:ind w:firstLine="567"/>
        <w:jc w:val="both"/>
      </w:pPr>
      <w:r w:rsidRPr="009C1259">
        <w:t xml:space="preserve">5. </w:t>
      </w:r>
      <w:r w:rsidR="009C1259" w:rsidRPr="009C1259">
        <w:t xml:space="preserve">В рамках конкурсу планується </w:t>
      </w:r>
      <w:r w:rsidR="009C1259">
        <w:t>підтримати 2-3 грантові ініціативи</w:t>
      </w:r>
      <w:r w:rsidR="009C1259" w:rsidRPr="009C1259">
        <w:t xml:space="preserve"> на підтримку </w:t>
      </w:r>
      <w:r w:rsidR="009C1259">
        <w:t xml:space="preserve">сталого </w:t>
      </w:r>
      <w:r w:rsidR="009C1259" w:rsidRPr="009C1259">
        <w:t>розвитку</w:t>
      </w:r>
      <w:r w:rsidR="009C1259">
        <w:t xml:space="preserve">  молодіжної (дитячої) громади на суму до 80 000 грн.</w:t>
      </w:r>
    </w:p>
    <w:p w:rsidR="00E965B7" w:rsidRDefault="00E965B7" w:rsidP="00DF50FD">
      <w:pPr>
        <w:spacing w:after="0" w:line="240" w:lineRule="auto"/>
        <w:ind w:firstLine="567"/>
        <w:jc w:val="both"/>
      </w:pPr>
    </w:p>
    <w:p w:rsidR="00903C60" w:rsidRPr="00903C60" w:rsidRDefault="00903C60" w:rsidP="00DF50FD">
      <w:pPr>
        <w:spacing w:after="0" w:line="240" w:lineRule="auto"/>
        <w:ind w:firstLine="567"/>
        <w:jc w:val="both"/>
        <w:rPr>
          <w:b/>
        </w:rPr>
      </w:pPr>
      <w:r w:rsidRPr="00903C60">
        <w:rPr>
          <w:b/>
        </w:rPr>
        <w:t>Процес проведення Конкурсу та відбору</w:t>
      </w:r>
    </w:p>
    <w:p w:rsidR="00903C60" w:rsidRDefault="00903C60" w:rsidP="00903C60">
      <w:pPr>
        <w:spacing w:after="0" w:line="240" w:lineRule="auto"/>
        <w:ind w:firstLine="567"/>
        <w:jc w:val="both"/>
        <w:rPr>
          <w:rFonts w:ascii="Myriad Pro Cyr" w:hAnsi="Myriad Pro Cyr" w:cs="Myriad Pro"/>
        </w:rPr>
      </w:pPr>
      <w:r>
        <w:rPr>
          <w:rFonts w:ascii="Myriad Pro Cyr" w:hAnsi="Myriad Pro Cyr" w:cs="Myriad Pro Cyr"/>
        </w:rPr>
        <w:t xml:space="preserve">1. </w:t>
      </w:r>
      <w:r w:rsidRPr="00903C60">
        <w:rPr>
          <w:rFonts w:ascii="Myriad Pro Cyr" w:hAnsi="Myriad Pro Cyr" w:cs="Myriad Pro Cyr"/>
        </w:rPr>
        <w:t xml:space="preserve">Після завершення кінцевого терміну подання проектних пропозицій група експертів розглядає та аналізує заявки відповідно до Форми </w:t>
      </w:r>
      <w:r>
        <w:rPr>
          <w:rFonts w:ascii="Myriad Pro Cyr" w:hAnsi="Myriad Pro Cyr" w:cs="Myriad Pro Cyr"/>
        </w:rPr>
        <w:t xml:space="preserve">оцінки проектної пропозиції. </w:t>
      </w:r>
    </w:p>
    <w:p w:rsidR="00903C60" w:rsidRDefault="00903C60" w:rsidP="00903C60">
      <w:pPr>
        <w:spacing w:after="0" w:line="240" w:lineRule="auto"/>
        <w:ind w:firstLine="567"/>
        <w:jc w:val="both"/>
        <w:rPr>
          <w:rFonts w:ascii="Myriad Pro Cyr" w:hAnsi="Myriad Pro Cyr" w:cs="Myriad Pro"/>
        </w:rPr>
      </w:pPr>
      <w:r>
        <w:rPr>
          <w:rFonts w:ascii="Myriad Pro Cyr" w:hAnsi="Myriad Pro Cyr" w:cs="Myriad Pro"/>
        </w:rPr>
        <w:t xml:space="preserve">2. </w:t>
      </w:r>
      <w:r w:rsidRPr="00903C60">
        <w:rPr>
          <w:rFonts w:ascii="Myriad Pro Cyr" w:hAnsi="Myriad Pro Cyr" w:cs="Myriad Pro Cyr"/>
        </w:rPr>
        <w:t>Заповнені Форми оцінки проектної пропозиції подаються на розгляд Конкурсної комісії, яка приймає остаточне рішення щодо вибору переможців. Переможуть пропозиції, які набрали найбільшу кількість балів. Засідання комі</w:t>
      </w:r>
      <w:r w:rsidR="008007F2">
        <w:rPr>
          <w:rFonts w:ascii="Myriad Pro Cyr" w:hAnsi="Myriad Pro Cyr" w:cs="Myriad Pro Cyr"/>
        </w:rPr>
        <w:t xml:space="preserve">сії має відбутися не пізніше 30 </w:t>
      </w:r>
      <w:r w:rsidRPr="00903C60">
        <w:rPr>
          <w:rFonts w:ascii="Myriad Pro Cyr" w:hAnsi="Myriad Pro Cyr" w:cs="Myriad Pro Cyr"/>
        </w:rPr>
        <w:t xml:space="preserve">календарних днів від дати завершення кінцевого терміну подання проектних пропозицій. </w:t>
      </w:r>
    </w:p>
    <w:p w:rsidR="00903C60" w:rsidRPr="00DF50FD" w:rsidRDefault="00903C60" w:rsidP="00903C6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Myriad Pro Cyr" w:hAnsi="Myriad Pro Cyr" w:cs="Myriad Pro"/>
        </w:rPr>
        <w:t xml:space="preserve">3. </w:t>
      </w:r>
      <w:r w:rsidRPr="00DF50FD">
        <w:t xml:space="preserve">Підсумки Конкурсу будуть оприлюднені на сайті </w:t>
      </w:r>
      <w:hyperlink r:id="rId7" w:history="1">
        <w:r w:rsidRPr="00DF50FD">
          <w:rPr>
            <w:rStyle w:val="a3"/>
            <w:rFonts w:cs="Arial"/>
          </w:rPr>
          <w:t>http://www.ecoosvita.org.ua</w:t>
        </w:r>
      </w:hyperlink>
      <w:r w:rsidRPr="00DF50FD">
        <w:t xml:space="preserve">. </w:t>
      </w:r>
    </w:p>
    <w:p w:rsidR="00903C60" w:rsidRPr="00903C60" w:rsidRDefault="00903C60" w:rsidP="00903C60">
      <w:pPr>
        <w:spacing w:after="0" w:line="240" w:lineRule="auto"/>
        <w:ind w:firstLine="567"/>
        <w:jc w:val="both"/>
        <w:rPr>
          <w:rFonts w:ascii="Myriad Pro Cyr" w:hAnsi="Myriad Pro Cyr" w:cs="Myriad Pro"/>
        </w:rPr>
      </w:pPr>
      <w:r>
        <w:rPr>
          <w:rFonts w:ascii="Myriad Pro Cyr" w:hAnsi="Myriad Pro Cyr" w:cs="Myriad Pro"/>
        </w:rPr>
        <w:t xml:space="preserve">4. </w:t>
      </w:r>
      <w:r>
        <w:rPr>
          <w:rFonts w:ascii="Myriad Pro Cyr" w:hAnsi="Myriad Pro Cyr" w:cs="Myriad Pro Cyr"/>
        </w:rPr>
        <w:t>В ході реалізації К</w:t>
      </w:r>
      <w:r w:rsidRPr="00903C60">
        <w:rPr>
          <w:rFonts w:ascii="Myriad Pro Cyr" w:hAnsi="Myriad Pro Cyr" w:cs="Myriad Pro Cyr"/>
        </w:rPr>
        <w:t xml:space="preserve">онкурсу </w:t>
      </w:r>
      <w:r w:rsidR="006B11E6">
        <w:rPr>
          <w:rFonts w:ascii="Myriad Pro Cyr" w:hAnsi="Myriad Pro Cyr" w:cs="Myriad Pro Cyr"/>
        </w:rPr>
        <w:t>організатори Конкурсу мають</w:t>
      </w:r>
      <w:r w:rsidRPr="00903C60">
        <w:rPr>
          <w:rFonts w:ascii="Myriad Pro Cyr" w:hAnsi="Myriad Pro Cyr" w:cs="Myriad Pro Cyr"/>
        </w:rPr>
        <w:t xml:space="preserve"> право вносити поправки.</w:t>
      </w:r>
    </w:p>
    <w:p w:rsidR="00E965B7" w:rsidRPr="00DF50FD" w:rsidRDefault="00E965B7" w:rsidP="00DF50FD">
      <w:pPr>
        <w:spacing w:after="0" w:line="240" w:lineRule="auto"/>
        <w:jc w:val="both"/>
      </w:pPr>
    </w:p>
    <w:sectPr w:rsidR="00E965B7" w:rsidRPr="00DF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59A"/>
    <w:multiLevelType w:val="multilevel"/>
    <w:tmpl w:val="187ED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C7B33"/>
    <w:multiLevelType w:val="hybridMultilevel"/>
    <w:tmpl w:val="67D6F4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99FE1034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</w:rPr>
    </w:lvl>
  </w:abstractNum>
  <w:abstractNum w:abstractNumId="2">
    <w:nsid w:val="106E0F3D"/>
    <w:multiLevelType w:val="hybridMultilevel"/>
    <w:tmpl w:val="A0BE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AF1CBC"/>
    <w:multiLevelType w:val="multilevel"/>
    <w:tmpl w:val="F8E645C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35775BCD"/>
    <w:multiLevelType w:val="multilevel"/>
    <w:tmpl w:val="436267CE"/>
    <w:lvl w:ilvl="0">
      <w:start w:val="5"/>
      <w:numFmt w:val="decimal"/>
      <w:lvlText w:val="%1."/>
      <w:lvlJc w:val="left"/>
      <w:pPr>
        <w:ind w:left="600" w:hanging="600"/>
      </w:pPr>
      <w:rPr>
        <w:rFonts w:ascii="Myriad Pro Cyr" w:hAnsi="Myriad Pro Cyr" w:cs="Myriad Pro Cyr"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ascii="Myriad Pro Cyr" w:hAnsi="Myriad Pro Cyr" w:cs="Myriad Pro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Myriad Pro Cyr" w:hAnsi="Myriad Pro Cyr" w:cs="Myriad Pro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Myriad Pro Cyr" w:hAnsi="Myriad Pro Cyr" w:cs="Myriad Pro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Myriad Pro Cyr" w:hAnsi="Myriad Pro Cyr" w:cs="Myriad Pro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Myriad Pro Cyr" w:hAnsi="Myriad Pro Cyr" w:cs="Myriad Pro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Myriad Pro Cyr" w:hAnsi="Myriad Pro Cyr" w:cs="Myriad Pro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Myriad Pro Cyr" w:hAnsi="Myriad Pro Cyr" w:cs="Myriad Pro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Myriad Pro Cyr" w:hAnsi="Myriad Pro Cyr" w:cs="Myriad Pro Cyr" w:hint="default"/>
      </w:rPr>
    </w:lvl>
  </w:abstractNum>
  <w:abstractNum w:abstractNumId="5">
    <w:nsid w:val="3F402D2C"/>
    <w:multiLevelType w:val="multilevel"/>
    <w:tmpl w:val="8326AC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3F5B4297"/>
    <w:multiLevelType w:val="multilevel"/>
    <w:tmpl w:val="042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7206356"/>
    <w:multiLevelType w:val="hybridMultilevel"/>
    <w:tmpl w:val="DFC2A026"/>
    <w:lvl w:ilvl="0" w:tplc="699E5EC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BD6537"/>
    <w:multiLevelType w:val="hybridMultilevel"/>
    <w:tmpl w:val="69CAE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EA"/>
    <w:rsid w:val="000473A5"/>
    <w:rsid w:val="001E4E59"/>
    <w:rsid w:val="00385901"/>
    <w:rsid w:val="00553342"/>
    <w:rsid w:val="00670673"/>
    <w:rsid w:val="006B11E6"/>
    <w:rsid w:val="007B35EA"/>
    <w:rsid w:val="008007F2"/>
    <w:rsid w:val="008E153B"/>
    <w:rsid w:val="008F7C91"/>
    <w:rsid w:val="00903C60"/>
    <w:rsid w:val="009C1259"/>
    <w:rsid w:val="009E6614"/>
    <w:rsid w:val="00A84AFD"/>
    <w:rsid w:val="00B07D7B"/>
    <w:rsid w:val="00BE6628"/>
    <w:rsid w:val="00C11A9F"/>
    <w:rsid w:val="00DD5E28"/>
    <w:rsid w:val="00DF50FD"/>
    <w:rsid w:val="00E224C6"/>
    <w:rsid w:val="00E965B7"/>
    <w:rsid w:val="00EF44E8"/>
    <w:rsid w:val="00EF53B5"/>
    <w:rsid w:val="00F5121F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4512-EDD2-47CE-A21F-DAEA581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3B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11A9F"/>
    <w:pPr>
      <w:spacing w:after="0" w:line="240" w:lineRule="auto"/>
      <w:ind w:left="720"/>
    </w:pPr>
    <w:rPr>
      <w:rFonts w:ascii="Times New Roman" w:eastAsiaTheme="minorEastAsia" w:hAnsi="Times New Roman" w:cstheme="minorBidi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E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62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osvit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_development@ukr.net" TargetMode="External"/><Relationship Id="rId5" Type="http://schemas.openxmlformats.org/officeDocument/2006/relationships/hyperlink" Target="http://www.ecoosvita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3</cp:revision>
  <cp:lastPrinted>2016-11-02T15:14:00Z</cp:lastPrinted>
  <dcterms:created xsi:type="dcterms:W3CDTF">2016-11-02T15:12:00Z</dcterms:created>
  <dcterms:modified xsi:type="dcterms:W3CDTF">2016-11-02T15:44:00Z</dcterms:modified>
</cp:coreProperties>
</file>